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eastAsia="方正小标宋简体"/>
          <w:b/>
          <w:color w:val="FF0000"/>
          <w:spacing w:val="80"/>
          <w:sz w:val="92"/>
          <w:szCs w:val="92"/>
        </w:rPr>
      </w:pPr>
      <w:bookmarkStart w:id="0" w:name="OLE_LINK1"/>
      <w:bookmarkStart w:id="1" w:name="_Toc22625"/>
      <w:r>
        <w:rPr>
          <w:rFonts w:hint="eastAsia" w:ascii="方正小标宋简体" w:eastAsia="方正小标宋简体"/>
          <w:b/>
          <w:color w:val="FF0000"/>
          <w:spacing w:val="80"/>
          <w:sz w:val="92"/>
          <w:szCs w:val="92"/>
        </w:rPr>
        <w:t>北海艺术设计学院</w:t>
      </w:r>
    </w:p>
    <w:p>
      <w:pPr>
        <w:adjustRightInd w:val="0"/>
        <w:snapToGrid w:val="0"/>
        <w:spacing w:line="570" w:lineRule="exact"/>
        <w:jc w:val="center"/>
        <w:rPr>
          <w:rFonts w:ascii="微软雅黑" w:hAnsi="微软雅黑" w:eastAsia="微软雅黑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/>
          <w:color w:val="auto"/>
        </w:rPr>
        <w:pict>
          <v:line id="直接连接符 3" o:spid="_x0000_s1026" o:spt="20" style="position:absolute;left:0pt;margin-left:0pt;margin-top:30.95pt;height:1.15pt;width:443.6pt;z-index:251660288;mso-width-relative:page;mso-height-relative:page;" filled="f" stroked="t" coordsize="21600,21600" o:gfxdata="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GYaahdkAAAAGAQAADwAAAAAAAAAB&#10;ACAAAAAiAAAAZHJzL2Rvd25yZXYueG1sUEsBAhQAFAAAAAgAh07iQF7PJcbWAQAAiwMAAA4AAAAA&#10;AAAAAQAgAAAAKAEAAGRycy9lMm9Eb2MueG1sUEsFBgAAAAAGAAYAWQEAAHAFAAAAAA==&#10;">
            <v:path arrowok="t"/>
            <v:fill on="f" focussize="0,0"/>
            <v:stroke weight="3pt" color="#FF0000" joinstyle="round"/>
            <v:imagedata o:title=""/>
            <o:lock v:ext="edit" aspectratio="f"/>
          </v:line>
        </w:pict>
      </w:r>
      <w:r>
        <w:rPr>
          <w:rFonts w:hint="eastAsia" w:ascii="方正仿宋简体" w:eastAsia="方正仿宋简体"/>
          <w:color w:val="auto"/>
          <w:sz w:val="32"/>
          <w:szCs w:val="32"/>
        </w:rPr>
        <w:t>北艺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教</w:t>
      </w:r>
      <w:r>
        <w:rPr>
          <w:rFonts w:hint="eastAsia" w:ascii="方正仿宋简体" w:eastAsia="方正仿宋简体"/>
          <w:color w:val="auto"/>
          <w:sz w:val="32"/>
          <w:szCs w:val="32"/>
        </w:rPr>
        <w:t>发〔20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21</w:t>
      </w:r>
      <w:r>
        <w:rPr>
          <w:rFonts w:hint="eastAsia" w:ascii="方正仿宋简体" w:eastAsia="方正仿宋简体"/>
          <w:color w:val="auto"/>
          <w:sz w:val="32"/>
          <w:szCs w:val="32"/>
        </w:rPr>
        <w:t>〕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56</w:t>
      </w:r>
      <w:r>
        <w:rPr>
          <w:rFonts w:hint="eastAsia" w:ascii="方正仿宋简体" w:eastAsia="方正仿宋简体"/>
          <w:color w:val="auto"/>
          <w:sz w:val="32"/>
          <w:szCs w:val="32"/>
        </w:rPr>
        <w:t>号</w:t>
      </w:r>
    </w:p>
    <w:p>
      <w:pPr>
        <w:adjustRightInd w:val="0"/>
        <w:snapToGrid w:val="0"/>
        <w:spacing w:line="570" w:lineRule="exact"/>
        <w:rPr>
          <w:rFonts w:ascii="微软雅黑" w:hAnsi="微软雅黑" w:eastAsia="微软雅黑"/>
          <w:b/>
          <w:bCs/>
          <w:color w:val="000000"/>
          <w:sz w:val="32"/>
          <w:szCs w:val="32"/>
          <w:shd w:val="clear" w:color="auto" w:fill="FFFFFF"/>
        </w:rPr>
      </w:pP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outlineLvl w:val="0"/>
        <w:rPr>
          <w:rFonts w:hint="eastAsia" w:ascii="方正小标宋简体" w:hAnsi="黑体-简" w:eastAsia="方正小标宋简体" w:cs="黑体-简"/>
          <w:bCs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关于印发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黑体-简" w:eastAsia="方正小标宋简体" w:cs="黑体-简"/>
          <w:bCs/>
          <w:sz w:val="44"/>
          <w:szCs w:val="32"/>
        </w:rPr>
        <w:t>北海艺术设计学院本科专业建设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outlineLvl w:val="0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黑体-简" w:eastAsia="方正小标宋简体" w:cs="黑体-简"/>
          <w:bCs/>
          <w:sz w:val="44"/>
          <w:szCs w:val="32"/>
        </w:rPr>
        <w:t>管理办法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》</w:t>
      </w:r>
      <w:r>
        <w:rPr>
          <w:rFonts w:hint="eastAsia" w:ascii="方正小标宋简体" w:eastAsia="方正小标宋简体"/>
          <w:sz w:val="44"/>
          <w:szCs w:val="44"/>
        </w:rPr>
        <w:t>的通知</w:t>
      </w:r>
    </w:p>
    <w:p>
      <w:pPr>
        <w:spacing w:line="570" w:lineRule="exact"/>
        <w:jc w:val="center"/>
        <w:rPr>
          <w:rFonts w:hint="eastAsia" w:ascii="方正仿宋简体" w:eastAsia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学校各部门、单位：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0"/>
        <w:rPr>
          <w:rFonts w:hint="eastAsia" w:ascii="方正仿宋简体" w:eastAsia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根据教育部《关于加快建设高水平本科教育全面提高人才培养能力的意见》（教高〔2018〕2号）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《关于深化本科教育教学改革全面提高人才培养质量的意见》（教高〔2019〕6号）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和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《普通高等学校本科专业目录（2020年）》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等文件精神，</w:t>
      </w:r>
      <w:bookmarkStart w:id="2" w:name="_GoBack"/>
      <w:bookmarkEnd w:id="2"/>
      <w:r>
        <w:rPr>
          <w:rFonts w:hint="eastAsia" w:ascii="方正仿宋简体" w:hAnsi="方正仿宋简体" w:eastAsia="方正仿宋简体" w:cs="方正仿宋简体"/>
          <w:sz w:val="32"/>
          <w:szCs w:val="32"/>
        </w:rPr>
        <w:t>学校制定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了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《北海艺术设计学院本科专业建设管理办法》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  <w:t>。</w:t>
      </w:r>
      <w:r>
        <w:rPr>
          <w:rFonts w:hint="eastAsia" w:ascii="方正仿宋简体" w:eastAsia="方正仿宋简体"/>
          <w:color w:val="000000"/>
          <w:sz w:val="32"/>
          <w:szCs w:val="32"/>
        </w:rPr>
        <w:t>现予以</w:t>
      </w:r>
      <w:r>
        <w:rPr>
          <w:rFonts w:hint="eastAsia" w:ascii="方正仿宋简体" w:eastAsia="方正仿宋简体"/>
          <w:color w:val="000000"/>
          <w:sz w:val="32"/>
          <w:szCs w:val="32"/>
          <w:lang w:val="en-US" w:eastAsia="zh-CN"/>
        </w:rPr>
        <w:t>印发</w:t>
      </w:r>
      <w:r>
        <w:rPr>
          <w:rFonts w:hint="eastAsia" w:ascii="方正仿宋简体" w:eastAsia="方正仿宋简体"/>
          <w:color w:val="000000"/>
          <w:sz w:val="32"/>
          <w:szCs w:val="32"/>
        </w:rPr>
        <w:t>，请认真贯彻执行。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right"/>
        <w:textAlignment w:val="auto"/>
        <w:rPr>
          <w:rFonts w:hint="default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北海艺术设计学院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 xml:space="preserve">    </w:t>
      </w:r>
    </w:p>
    <w:p>
      <w:pPr>
        <w:pStyle w:val="1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right"/>
        <w:textAlignment w:val="auto"/>
        <w:rPr>
          <w:rFonts w:hint="eastAsia" w:ascii="方正仿宋简体" w:hAnsi="方正仿宋简体" w:eastAsia="方正仿宋简体" w:cs="方正仿宋简体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20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月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日</w:t>
      </w:r>
      <w:r>
        <w:rPr>
          <w:rFonts w:hint="eastAsia" w:ascii="方正仿宋简体" w:hAnsi="方正仿宋简体" w:eastAsia="方正仿宋简体" w:cs="方正仿宋简体"/>
          <w:color w:val="FF0000"/>
          <w:kern w:val="0"/>
          <w:sz w:val="32"/>
          <w:szCs w:val="32"/>
          <w:lang w:val="en-US" w:eastAsia="zh-CN"/>
        </w:rPr>
        <w:t xml:space="preserve">    </w:t>
      </w:r>
    </w:p>
    <w:p>
      <w:pPr>
        <w:rPr>
          <w:rFonts w:hint="eastAsia" w:ascii="方正仿宋简体" w:hAnsi="方正仿宋简体" w:eastAsia="方正仿宋简体" w:cs="方正仿宋简体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FF0000"/>
          <w:kern w:val="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9"/>
        <w:rPr>
          <w:rFonts w:ascii="方正小标宋简体" w:hAnsi="仿宋" w:eastAsia="方正小标宋简体" w:cs="宋体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Cs/>
          <w:color w:val="auto"/>
          <w:kern w:val="0"/>
          <w:sz w:val="44"/>
          <w:szCs w:val="44"/>
        </w:rPr>
        <w:t>北海艺术设计学院本科专业建设管理办法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outlineLvl w:val="9"/>
        <w:rPr>
          <w:rFonts w:ascii="黑体" w:hAnsi="黑体" w:eastAsia="黑体" w:cs="黑体-简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0" w:lineRule="exact"/>
        <w:jc w:val="center"/>
        <w:textAlignment w:val="auto"/>
        <w:outlineLvl w:val="9"/>
        <w:rPr>
          <w:rFonts w:ascii="黑体" w:hAnsi="黑体" w:eastAsia="黑体" w:cs="黑体-简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第一章  总  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第一条</w:t>
      </w:r>
      <w:r>
        <w:rPr>
          <w:rFonts w:asciiTheme="minorEastAsia" w:hAnsiTheme="minorEastAsia" w:cstheme="minorEastAsia"/>
          <w:color w:val="auto"/>
          <w:sz w:val="32"/>
          <w:szCs w:val="32"/>
          <w:shd w:val="clear" w:color="auto" w:fill="FFFFFF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为加快形成高水平人才培养体系，有计划地开展专业建设，形成合理的专业结构和布局，增强专业办学特色，提高学校办学质量，培养德智体美劳全面发展的社会主义建设者和接班人，根据《教育部关于加快建设高水平本科教育全面提高人才培养能力的意见》（教高〔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2018〕2号）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、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《教育部关于深化本科教育教学改革全面提高人才培养质量的意见》（教高〔2019〕6号）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和《普通高等学校本科专业目录（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2020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年）》等文件精神，结合学校实际情况，制定本办法。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0" w:lineRule="exact"/>
        <w:jc w:val="center"/>
        <w:textAlignment w:val="auto"/>
        <w:outlineLvl w:val="9"/>
        <w:rPr>
          <w:rFonts w:ascii="黑体" w:hAnsi="黑体" w:eastAsia="黑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 xml:space="preserve">第二章 </w:t>
      </w:r>
      <w:r>
        <w:rPr>
          <w:rFonts w:ascii="黑体" w:hAnsi="黑体" w:eastAsia="黑体" w:cs="黑体-简"/>
          <w:color w:val="auto"/>
          <w:sz w:val="32"/>
          <w:szCs w:val="32"/>
          <w:shd w:val="clear" w:color="auto" w:fill="FFFFFF"/>
        </w:rPr>
        <w:t xml:space="preserve"> </w:t>
      </w: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指导思想</w:t>
      </w:r>
      <w:r>
        <w:rPr>
          <w:rFonts w:ascii="黑体" w:hAnsi="黑体" w:eastAsia="黑体" w:cs="黑体-简"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基本原则</w:t>
      </w:r>
      <w:r>
        <w:rPr>
          <w:rFonts w:ascii="黑体" w:hAnsi="黑体" w:eastAsia="黑体" w:cs="黑体-简"/>
          <w:color w:val="auto"/>
          <w:sz w:val="32"/>
          <w:szCs w:val="32"/>
          <w:shd w:val="clear" w:color="auto" w:fill="FFFFFF"/>
        </w:rPr>
        <w:t>及建设目标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第二条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以习近平新时代中国特色社会主义思想为指导，全面贯彻落实党的教育方针，坚持社会主义办学方向，落实立德树人根本任务，强化政治意识和责任意识，准确把握高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等教育基本规律和人才成长规律，以“回归常识、回归本分、回归初心、回归梦想”为基本遵循，适应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行业经济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社会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发展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需求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构建结构优化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、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有竞争优势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特色鲜明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的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专业体系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。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建设一批与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行业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经济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社会发展相适应的具有一定学科基础的新专业；改造传统专业，扶持新办专业，巩固优势专业，打造品牌专业，培育特色专业，重点建设基础条件好、行业经济社会适应面广、办学水平高的专业，不断提高专业建设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第三条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（一）立德树人原则。把立德树人的根本任务内化到学校专业建设的全过程中，通过专业建设培育德智体美劳全面发展的社会主义建设者和接班人。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Calibri" w:hAnsi="Calibri" w:eastAsia="宋体" w:cs="Times New Roman"/>
          <w:color w:val="auto"/>
          <w:szCs w:val="21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二）以学生为中心原则。以促进学生全面发展为中心，不断深化人才培养模式、课程体系、教学内容、教学管理、教学方法和手段的改革创新，激发学生学习兴趣和潜能，激励学生爱国、励志、求真、力行，增强学生的社会责任感、创新精神和实践能力，不断满足学生成才的需要，培养学生</w:t>
      </w:r>
      <w:r>
        <w:rPr>
          <w:rFonts w:hint="eastAsia" w:ascii="方正仿宋简体" w:hAnsi="Calibri" w:eastAsia="方正仿宋简体" w:cs="Times New Roman"/>
          <w:color w:val="auto"/>
          <w:sz w:val="32"/>
          <w:szCs w:val="32"/>
        </w:rPr>
        <w:t>成为适应行业发展需求，品德高尚，视野开阔，基础扎实，实践能力突出，创新创业能力强，德智体美劳全面发展的高素质应用型人才。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eastAsia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三）落实办学定位原则。以应用型人才培养为主线，根据行业经济社会发展对人才的需要，积极推进应用型人才培养模式、课程体系、教学内容、教学方法和手段、教学管理的整体改革和建设，形成有学校特色、</w:t>
      </w:r>
      <w:r>
        <w:rPr>
          <w:rFonts w:hint="eastAsia" w:ascii="方正仿宋简体" w:eastAsia="方正仿宋简体"/>
          <w:color w:val="auto"/>
          <w:sz w:val="32"/>
          <w:szCs w:val="32"/>
        </w:rPr>
        <w:t>适应文化艺术行业发展的专业体系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（四）优化调整结构原则。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适应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行业经济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社会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发展对人才的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需求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，依托学校现有的专业优势及专业基础，科学、合理地做好专业设置和优化调整工作，切实提高专业与行业、社会发展需求的融合度，彰显学校的办学特色。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  <w:shd w:val="clear" w:color="FFFFFF" w:fill="D9D9D9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（五）内涵建设原则。以品牌特色专业建设为核心，以新专业建设为重点，坚持专业建设与学科建设、师资队伍建设、教学条件建设、课程建设相结合，加大投入，实施重点建设、分层建设、特色建设。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第四条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建设目标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（一）形成合理专业结构。根据学校办学定位和学科专业发展规划，根据国家经济社会发展需要适当培育和申办新专业，继续完善并拓展文、教、艺等多学科专业体系，形成多学科交叉结合的专业格局。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（二）促进专业融合。按大类整合改造传统专业，拓宽专业口径，灵活专业方向，加强通识教育。积极鼓励学科专业的交叉融合，整合不同学科专业的教学内容，构建宽口径、复合型的专业体系。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三）形成特色专业。对现有专业优化调整，对于发展后劲足、办学特色鲜明、招生及就业形势好的专业重点支持，建成一批国家级特色专业，在人才培养和教学改革方面起示范辐射作用。对于一些学科设置陈旧，社会需求不大，就业率低下的专业减少招生数量或停止招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（四）提高人才培养质量。结合办学定位和服务面向，明确专业培养目标和建设重点，优化人才培养方案。按照准确定位、注重内涵、突出优势强化特色的原则，推进培养模式、教学团队、课程教材、教学方式、教学管理等专业发展重要环节的综合改革，增强人才培养特色，提高人才培养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0" w:lineRule="exact"/>
        <w:jc w:val="center"/>
        <w:textAlignment w:val="auto"/>
        <w:outlineLvl w:val="9"/>
        <w:rPr>
          <w:rFonts w:ascii="黑体" w:hAnsi="黑体" w:eastAsia="黑体" w:cs="黑体-简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第三章  建设内容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第五条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制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订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专业建设规划。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根据学校发展规划，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各专业必须结合经济社会发展需要，找准定位，把握发展方向，在充分调研论证的基础上，实事求是地制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订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具体的专业建设规划。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第六条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专业建设的内容。专业建设包括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优化人才培养方案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，构建课程系统；改革课程教学内容、加强教材建设；改革教师培养和使用机制，加强教师队伍建设；改革实践教学，推进人才培养与社会实践相结合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通过改革和建设，培养经济社会发展急需的应用型人才。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方正仿宋简体"/>
          <w:color w:val="auto"/>
          <w:kern w:val="0"/>
          <w:sz w:val="32"/>
          <w:szCs w:val="32"/>
        </w:rPr>
        <w:t xml:space="preserve">第七条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优化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人才培养方案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。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人才培养方案是培养人才的纲领，是组织教学过程的主要依据，体现了专业建设的思路和人才培养方向，对人才培养质量起着决定作用。因此，各专业应深入研究经济社会发展对人才需求的趋势，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对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传统的人才培养模式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进行改革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，优化制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订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各专业人才培养方案。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方正仿宋简体"/>
          <w:color w:val="auto"/>
          <w:kern w:val="0"/>
          <w:sz w:val="32"/>
          <w:szCs w:val="32"/>
        </w:rPr>
        <w:t>第八条</w:t>
      </w:r>
      <w:r>
        <w:rPr>
          <w:rFonts w:ascii="黑体" w:hAnsi="黑体" w:eastAsia="黑体" w:cs="方正仿宋简体"/>
          <w:color w:val="auto"/>
          <w:kern w:val="0"/>
          <w:sz w:val="32"/>
          <w:szCs w:val="32"/>
        </w:rPr>
        <w:t xml:space="preserve"> 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加强课程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和教材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建设。要瞄准专业发展前沿，面向经济社会发展需求，充分利用现代信息技术，更新完善教学内容，优化课程设置。优先建设专业基础课、核心课，增加选修课，逐步形成具有专业特色的课程体系。加强专业课程的教材建设，精选专业教材辅助教学课件，建设与人才培养目标、人才培养要求和应用型人才培养相适应的优质教材资源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第九条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加强师资队伍建设。积极引进专业的高层次人才，逐步形成一支年龄、学历、职称结构合理的专业师资队伍；重视中青年骨干教师的培养培训，鼓励专业教师开展学术研究，有计划地组织教师进行专题研讨，及时总结教学经验，不断提高专业教学质量。要求专业教师在完成教学任务的同时承担一定的科研任务，对教学形成良好的辅助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第十条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加强实践教学。结合专业特点和人才培养要求，增加实践教学比重，确保专业实践教学必要的学分（学时）。改善实践教学条件，增加综合性、设计性、开放性实验，鼓励高水平教师承担实践教学任务。根据专业人才培养方案，切实把实践教学环节落实到位，培养和提高学生综合运用专业理论知识研究、分析和解决专业实际问题的能力。加强专业实践基地建设，建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设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一批稳定的能满足实习教学要求的校内外实习基地，提高学生的实践能力与创新能力。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</w:rPr>
        <w:t>第十一条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配备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专业带头人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。专业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带头人原则上应具有副高以上专业技术职称，具有较高的学术水平和教学水平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。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专业带头人要根据专业发展趋势与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经济社会发展的需要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不断调整教学基本文件内容，及时修订课程教学大纲、教学计划、实验大纲，将教学内容与专业发展趋势紧密结合，充分反映专业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的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学科前沿及发展动态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在教学内容上充分体现专业特色与人才培养特色。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0" w:lineRule="exact"/>
        <w:jc w:val="center"/>
        <w:textAlignment w:val="auto"/>
        <w:outlineLvl w:val="9"/>
        <w:rPr>
          <w:rFonts w:ascii="黑体" w:hAnsi="黑体" w:eastAsia="黑体" w:cs="黑体-简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>第四章</w:t>
      </w:r>
      <w:r>
        <w:rPr>
          <w:rFonts w:ascii="黑体" w:hAnsi="黑体" w:eastAsia="黑体" w:cs="黑体-简"/>
          <w:color w:val="auto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 xml:space="preserve"> 建设管理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第十二条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在本科专业类国家教学质量标准的基础上，按照“保合格、上水平、追卓越”的目标开展专业建设。一是保合格，依托高等教育质量监测国家数据平台，对各本科专业特别是新专业的基本的办学条件、教学文件、课程安排、教学成效等进行监测分析，高质量通过教育厅新专业评估、专业综合评估，进一步提高专业建设能力。二是上水平，开展重点专业建设以及一流专业建设。三是按照专业认证的内涵要求或OBE理念开展试点培育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楷体" w:hAnsi="楷体" w:eastAsia="楷体" w:cs="楷体"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</w:rPr>
        <w:t>（一）新增设专业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新增设专业建设期为六年，学校将定期对新专业建设情况进行指导、检查与评估，以保障新增设专业建设条件、水平和质量达到基本要求。新增设专业在建设期间需每学年向教务处提交《北海艺术设计学院新增设专业建设项目任务书》，并由教务处组织对新增设专业建设情况进行检查。专业带头人提交《北海艺术设计学院新增设专业建设年度检查报告书》并存档。依托高等教育质量监测国家数据平台，对新专业的基本的办学条件、教学文件、课程安排、教学成效等进行监测分析，高质量通过教育厅新专业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楷体" w:hAnsi="楷体" w:eastAsia="楷体" w:cs="楷体"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</w:rPr>
        <w:t>（二）重点专业及一流专业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按照优势突出、特色鲜明、社会急需的原则，建设若干个有一定社会声誉的校级重点专业。在此基础上，力争实现区级、国家级一流专业的立项建设。建设期一般为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3-5年。通过一流专业建设，学校要在办学条件、师资力量、人才培养模式、教学内容与课程体系、教学方法与手段、教学管理等方面形成优势和特色。通过一流专业建设，以点带面，有效提升学校专业建设的整体水平，提高人才培养的质量、效益和毕业生在就业市场的竞争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依据社会需求与专业设置情况，建立以校级重点专业为龙头，相近专业为支撑的专业群，发展各专业群新兴专业，推动原有专业升级改造，不断优化专业结构，实现艺术学科群与科技、人文学科的深度交叉融合。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 xml:space="preserve">第十三条 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专业建设实行校、院两级管理。教学指导委员会为学校专业建设领导机构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，对专业建设进行宏观管理、指导和统筹，教务处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负责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具体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组织实施日常事务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；专业建设以二级学院为主，实行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专业建设负责人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制，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专业建设负责人一般由专业带头人担任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。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专业带头人由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二级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学院负责遴选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报学校批准后进行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第十四条</w:t>
      </w:r>
      <w:r>
        <w:rPr>
          <w:rFonts w:ascii="黑体" w:hAnsi="黑体" w:eastAsia="黑体" w:cs="方正仿宋简体"/>
          <w:color w:val="auto"/>
          <w:kern w:val="0"/>
          <w:sz w:val="32"/>
          <w:szCs w:val="32"/>
        </w:rPr>
        <w:t xml:space="preserve"> 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专业建设负责人的职责是负责专业建设的申报、建设方案的制定、建设任务的分解与落实、经费预算、经费支出审批、接受专业建设检查、验收及日常管理等。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第十五条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学校对新增设专业、重点专业和品牌专业给予重点扶持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，实行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动态管理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，加强与重点学科相匹配的特色与优秀专业建设。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0" w:lineRule="exact"/>
        <w:jc w:val="center"/>
        <w:textAlignment w:val="auto"/>
        <w:outlineLvl w:val="9"/>
        <w:rPr>
          <w:rFonts w:ascii="黑体" w:hAnsi="黑体" w:eastAsia="黑体" w:cs="黑体-简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>第五章</w:t>
      </w:r>
      <w:r>
        <w:rPr>
          <w:rFonts w:ascii="黑体" w:hAnsi="黑体" w:eastAsia="黑体" w:cs="黑体-简"/>
          <w:color w:val="auto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 xml:space="preserve"> 检查评估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第十六条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专业建设负责人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应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每学年对专业建设工作进行总结，学校对专业建设情况进行考核检查。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第十七条</w:t>
      </w:r>
      <w:r>
        <w:rPr>
          <w:rFonts w:ascii="黑体" w:hAnsi="黑体" w:eastAsia="黑体" w:cs="方正仿宋简体"/>
          <w:color w:val="auto"/>
          <w:kern w:val="0"/>
          <w:sz w:val="32"/>
          <w:szCs w:val="32"/>
        </w:rPr>
        <w:t xml:space="preserve"> 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学校对专业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检查实行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分类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指导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，对新增设专业、重点专业群、一流专业分别按照相应的指标进行建设工作检查评估，检查评估要求按照相应的管理办法执行。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第十八条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检查评估的结果可以作为专业发展的参照依据，对于人才需求量大、办学条件好、就业形势好、建设成效显著的专业加大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软硬件的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扶持力度，并适度扩大招生规模；对于疏于建设和管理、社会需求量小、就业情况不好、建设成效不佳的专业，将视情况予以通报、适当压缩招生规模、及时进行整顿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、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改进和建设，实行隔年招生；对于办学条件差、学生就业困难的专业，经学校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专业建设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指导委员会研究论证，可以停止招生，或者采取合并、调整等方式进行改造。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第十九条</w:t>
      </w:r>
      <w:r>
        <w:rPr>
          <w:rFonts w:ascii="黑体" w:hAnsi="黑体" w:eastAsia="黑体" w:cs="方正仿宋简体"/>
          <w:color w:val="auto"/>
          <w:kern w:val="0"/>
          <w:sz w:val="32"/>
          <w:szCs w:val="32"/>
        </w:rPr>
        <w:t xml:space="preserve"> 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专业建设工作绩效作为学校教学工作考核的重要方面，列入对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二级学院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负责人的考核体系。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0" w:lineRule="exact"/>
        <w:jc w:val="center"/>
        <w:textAlignment w:val="auto"/>
        <w:outlineLvl w:val="9"/>
        <w:rPr>
          <w:rFonts w:ascii="黑体" w:hAnsi="黑体" w:eastAsia="黑体" w:cs="黑体-简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>第六章</w:t>
      </w:r>
      <w:r>
        <w:rPr>
          <w:rFonts w:ascii="黑体" w:hAnsi="黑体" w:eastAsia="黑体" w:cs="黑体-简"/>
          <w:color w:val="auto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 xml:space="preserve"> 协同育人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第二十条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开展校企、校政、校校深度合作，协同育人，充分利用其资金、场地、经验等方面优势，形成对现有专业资源的有效补充，拓宽学校办学的路径，加快教学、科研、产业的有机链接，为行业经济社会建设服务。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第二十一条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协同育人的建设途径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楷体" w:hAnsi="楷体" w:eastAsia="楷体" w:cs="楷体"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</w:rPr>
        <w:t>（一）与地方政府联合办专业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根据地方经济建设和发展对人才的需求，为地方培养急需的各类层次的专业技术人才。专业设置以地方经济需求为导向，专业培养目标面向地方人才需求，以地方相关产业为主要的实习基地，培养适应性强的各类专业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楷体" w:hAnsi="楷体" w:eastAsia="楷体" w:cs="楷体"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</w:rPr>
        <w:t>（二）与企业联合办专业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根据企业发展方向和发展规模，发挥学校专业理论优势，实现理论与企业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生产实践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活动的相互补充，满足企业快速发展的人才需求，实现学校的持续良好发展。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楷体" w:hAnsi="楷体" w:eastAsia="楷体" w:cs="楷体"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</w:rPr>
        <w:t>（三）与其他高校联合办专业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</w:pP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与其他高校联合，实现专业建设、人才培养、教学资源的优势互补。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0" w:lineRule="exact"/>
        <w:jc w:val="center"/>
        <w:textAlignment w:val="auto"/>
        <w:outlineLvl w:val="9"/>
        <w:rPr>
          <w:rFonts w:ascii="黑体" w:hAnsi="黑体" w:eastAsia="黑体" w:cs="黑体-简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 xml:space="preserve">第七章 </w:t>
      </w:r>
      <w:r>
        <w:rPr>
          <w:rFonts w:ascii="黑体" w:hAnsi="黑体" w:eastAsia="黑体" w:cs="黑体-简"/>
          <w:color w:val="auto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>附</w:t>
      </w:r>
      <w:r>
        <w:rPr>
          <w:rFonts w:ascii="黑体" w:hAnsi="黑体" w:eastAsia="黑体" w:cs="黑体-简"/>
          <w:color w:val="auto"/>
          <w:kern w:val="0"/>
          <w:sz w:val="32"/>
          <w:szCs w:val="32"/>
        </w:rPr>
        <w:t xml:space="preserve">  </w:t>
      </w:r>
      <w:r>
        <w:rPr>
          <w:rFonts w:hint="eastAsia" w:ascii="黑体" w:hAnsi="黑体" w:eastAsia="黑体" w:cs="黑体-简"/>
          <w:color w:val="auto"/>
          <w:kern w:val="0"/>
          <w:sz w:val="32"/>
          <w:szCs w:val="32"/>
        </w:rPr>
        <w:t>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color w:val="auto"/>
        </w:rPr>
      </w:pPr>
      <w:r>
        <w:rPr>
          <w:rFonts w:hint="eastAsia" w:ascii="黑体" w:hAnsi="黑体" w:eastAsia="黑体" w:cs="黑体-简"/>
          <w:color w:val="auto"/>
          <w:sz w:val="32"/>
          <w:szCs w:val="32"/>
          <w:shd w:val="clear" w:color="auto" w:fill="FFFFFF"/>
        </w:rPr>
        <w:t>第二十二条</w:t>
      </w:r>
      <w:r>
        <w:rPr>
          <w:rFonts w:ascii="黑体" w:hAnsi="黑体" w:eastAsia="黑体" w:cs="方正仿宋简体"/>
          <w:color w:val="auto"/>
          <w:kern w:val="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</w:rPr>
        <w:t>本办法自公布之日起施行，由教务处负责解释。原《北海艺术设计学院专业建设管理办法》（北艺办〔</w:t>
      </w:r>
      <w:r>
        <w:rPr>
          <w:rFonts w:ascii="方正仿宋简体" w:hAnsi="方正仿宋简体" w:eastAsia="方正仿宋简体" w:cs="方正仿宋简体"/>
          <w:color w:val="auto"/>
          <w:kern w:val="0"/>
          <w:sz w:val="32"/>
          <w:szCs w:val="32"/>
        </w:rPr>
        <w:t>2014〕16号）同时废止。</w:t>
      </w:r>
    </w:p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-简">
    <w:altName w:val="黑体"/>
    <w:panose1 w:val="00000000000000000000"/>
    <w:charset w:val="86"/>
    <w:family w:val="auto"/>
    <w:pitch w:val="default"/>
    <w:sig w:usb0="00000000" w:usb1="00000000" w:usb2="00000000" w:usb3="00000000" w:csb0="203E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719E90-AD03-49EF-A742-6171FEE54080}">
  <ds:schemaRefs/>
</ds:datastoreItem>
</file>